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Avain asiakkaiden menestykseen</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esittelee runsaasti tuoteinnovaatioita IAA 2024 -messuilla</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julkistaa kattavan valikoiman innovaatioita uuden sukupolven XD-, XF-, XG- ja XG</w:t>
      </w:r>
      <w:r>
        <w:rPr>
          <w:rFonts w:ascii="Arial" w:hAnsi="Arial"/>
          <w:b/>
          <w:sz w:val="24"/>
          <w:vertAlign w:val="superscript"/>
        </w:rPr>
        <w:t>+</w:t>
      </w:r>
      <w:r>
        <w:rPr>
          <w:rFonts w:ascii="Arial" w:hAnsi="Arial"/>
          <w:b/>
          <w:sz w:val="24"/>
        </w:rPr>
        <w:t xml:space="preserve"> -kuorma-autoihinsa IAA Transportation 2024 -messuilla Hannoverissa ja osoittaa niiden myötä jälleen edelläkävijyyttään polttoainetaloudellisuuden, turvallisuuden ja ajomukavuuden saralla. Akkukäyttöisten sähköajoneuvojensa myötä DAF edustaa alan kärkeä myös ympäristöasioissa. Ajoneuvoja hyödynnetään kaupunki- ja aluejakelussa sekä kaukokuljetuksissa, ja toimintaa tukevat ensiluokkaiset latausasemat ja energianvarastointijärjestelmät.</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ja sen näyttävä, asiakkaiden menestystä edistävän tuote- ja palvelutarjonnan esittelykoroke ei jää huomaamatta Hannoverin IAA Transportation 2024 -messuhallissa 21.</w:t>
      </w:r>
    </w:p>
    <w:p w14:paraId="7EE72BE2" w14:textId="77777777" w:rsidR="00DE08A8" w:rsidRPr="00581975"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Uuden sukupolven XD, XF, XG ja XG</w:t>
      </w:r>
      <w:r>
        <w:rPr>
          <w:rFonts w:ascii="Arial" w:hAnsi="Arial"/>
          <w:sz w:val="24"/>
          <w:vertAlign w:val="superscript"/>
        </w:rPr>
        <w:t>+</w:t>
      </w:r>
      <w:r>
        <w:rPr>
          <w:rFonts w:ascii="Arial" w:hAnsi="Arial"/>
          <w:sz w:val="24"/>
        </w:rPr>
        <w:t xml:space="preserve"> asettavat uudet standardit</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Ensiluokkainen tehokkuus</w:t>
      </w:r>
    </w:p>
    <w:p w14:paraId="567419A6" w14:textId="3FDCC44D" w:rsidR="005F5808" w:rsidRDefault="005F5808" w:rsidP="00767077">
      <w:pPr>
        <w:numPr>
          <w:ilvl w:val="2"/>
          <w:numId w:val="5"/>
        </w:numPr>
        <w:spacing w:line="360" w:lineRule="auto"/>
        <w:rPr>
          <w:rFonts w:ascii="Arial" w:hAnsi="Arial"/>
          <w:sz w:val="24"/>
          <w:szCs w:val="24"/>
        </w:rPr>
      </w:pPr>
      <w:r>
        <w:rPr>
          <w:rFonts w:ascii="Arial" w:hAnsi="Arial"/>
          <w:sz w:val="24"/>
        </w:rPr>
        <w:t>PACCAR MX-11- JA MX-13-moottoreiden optimoinnit</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Uusi venttiilien ajoitus</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Kaksikäyttöinen jäähdytysnestepumppu</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Kaksisylinterinen paineilmakompressori</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Taka-akselin innovaatiot</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Uusi vetopyörän rakenne</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Uudet taka-akselin välityssuhteet</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Polttoainetaloutta parantavat ja hiilidioksidipäästöjä vähentävät tekniset ominaisuudet</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DAF Digital Vision System, ennakoiva vakionopeudensäädin ja aerodynamiikkapaketti vakiona</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Vakiona 10 vuoden PACCAR Connect -tilaus</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lastRenderedPageBreak/>
        <w:t>Ensiluokkainen turvallisuus</w:t>
      </w:r>
    </w:p>
    <w:p w14:paraId="0D95C257" w14:textId="7F23814F" w:rsidR="00004B4E" w:rsidRPr="00581975" w:rsidRDefault="00004B4E" w:rsidP="00581975">
      <w:pPr>
        <w:numPr>
          <w:ilvl w:val="2"/>
          <w:numId w:val="4"/>
        </w:numPr>
        <w:spacing w:line="360" w:lineRule="auto"/>
        <w:rPr>
          <w:rFonts w:ascii="Arial" w:hAnsi="Arial"/>
          <w:sz w:val="24"/>
          <w:szCs w:val="24"/>
        </w:rPr>
      </w:pPr>
      <w:r>
        <w:rPr>
          <w:rFonts w:ascii="Arial" w:hAnsi="Arial"/>
          <w:sz w:val="24"/>
        </w:rPr>
        <w:t>Täysi valikoima kuljettajan apujärjestelmiä</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Ensiluokkainen mukavuus</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Entistä alhaisempi melutaso alhaisilla kierrosluvuilla ajamisen uuden tason ansiosta</w:t>
      </w:r>
    </w:p>
    <w:p w14:paraId="27073CD6" w14:textId="68D4B0BB" w:rsidR="00466201" w:rsidRDefault="005F5808" w:rsidP="00466201">
      <w:pPr>
        <w:numPr>
          <w:ilvl w:val="2"/>
          <w:numId w:val="4"/>
        </w:numPr>
        <w:spacing w:line="360" w:lineRule="auto"/>
        <w:rPr>
          <w:rFonts w:ascii="Arial" w:hAnsi="Arial"/>
          <w:sz w:val="24"/>
          <w:szCs w:val="24"/>
        </w:rPr>
      </w:pPr>
      <w:r>
        <w:rPr>
          <w:rFonts w:ascii="Arial" w:hAnsi="Arial"/>
          <w:sz w:val="24"/>
        </w:rPr>
        <w:t>Omaa luokkaansa oleva ajettavuus</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Uusi Truck Navigation -sovellus ja yhdistetty kuorma-auton navigointiominaisuus</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Kattava ja päästötön XB-, XD- ja XF Electric -ajoneuvomallisto kaupunki-, alue- ja kaukokuljetuskäyttöön</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Päästötön toimintamatka jopa 500 kilometriä</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LFP-akut (litium-rautafosfaatti) tarjoavat monia etuja</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Kobolttivapaa</w:t>
      </w:r>
    </w:p>
    <w:p w14:paraId="55B31BCC" w14:textId="428CF3F7" w:rsidR="003E355D" w:rsidRDefault="003E355D" w:rsidP="003E355D">
      <w:pPr>
        <w:numPr>
          <w:ilvl w:val="2"/>
          <w:numId w:val="4"/>
        </w:numPr>
        <w:spacing w:line="360" w:lineRule="auto"/>
        <w:rPr>
          <w:rFonts w:ascii="Arial" w:hAnsi="Arial"/>
          <w:sz w:val="24"/>
          <w:szCs w:val="24"/>
        </w:rPr>
      </w:pPr>
      <w:r>
        <w:rPr>
          <w:rFonts w:ascii="Arial" w:hAnsi="Arial"/>
          <w:sz w:val="24"/>
        </w:rPr>
        <w:t>Turvallinen erinomaisen lämmönkestävyyden ansiosta</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Erittäin kestävä</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PACCAR Power Solutionsin ensiluokkaiset laturit ja energianvarastointijärjestelmät</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-näyttö, joka näyttää uusimmat ja tulevat kestävät voimansiirtovaihtoehdot</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MX-13 -moottori HVO- ja B100 FAME -biodieselvalmiudella</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PACCAR-sähkömoottori</w:t>
      </w:r>
    </w:p>
    <w:p w14:paraId="3E6158B1" w14:textId="34781223" w:rsidR="00FB3012" w:rsidRDefault="00F23806" w:rsidP="00F23806">
      <w:pPr>
        <w:numPr>
          <w:ilvl w:val="1"/>
          <w:numId w:val="4"/>
        </w:numPr>
        <w:spacing w:line="360" w:lineRule="auto"/>
        <w:rPr>
          <w:rFonts w:ascii="Arial" w:hAnsi="Arial"/>
          <w:sz w:val="24"/>
          <w:szCs w:val="24"/>
        </w:rPr>
      </w:pPr>
      <w:r>
        <w:rPr>
          <w:rFonts w:ascii="Arial" w:hAnsi="Arial"/>
          <w:sz w:val="24"/>
        </w:rPr>
        <w:t>PACCAR-polttokennotekniikka</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-vetymoottori</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 E-akseli</w:t>
      </w:r>
    </w:p>
    <w:p w14:paraId="1DC44455" w14:textId="77777777" w:rsidR="00004B4E" w:rsidRPr="00581975" w:rsidRDefault="00004B4E" w:rsidP="00004B4E">
      <w:pPr>
        <w:pStyle w:val="Body"/>
        <w:spacing w:before="240" w:line="360" w:lineRule="auto"/>
        <w:rPr>
          <w:rFonts w:ascii="Arial" w:hAnsi="Arial" w:cs="Arial"/>
          <w:b/>
          <w:bCs/>
          <w:sz w:val="28"/>
          <w:szCs w:val="28"/>
          <w:lang w:val="nl-NL"/>
        </w:rPr>
      </w:pPr>
    </w:p>
    <w:p w14:paraId="7545BA42" w14:textId="741D293F" w:rsidR="00004B4E" w:rsidRDefault="009F6FDA" w:rsidP="00004B4E">
      <w:pPr>
        <w:pStyle w:val="Body"/>
        <w:spacing w:before="240" w:line="360" w:lineRule="auto"/>
        <w:rPr>
          <w:rFonts w:ascii="Arial" w:hAnsi="Arial" w:cs="Arial"/>
          <w:sz w:val="24"/>
          <w:szCs w:val="24"/>
        </w:rPr>
      </w:pPr>
      <w:r>
        <w:rPr>
          <w:rFonts w:ascii="Arial" w:hAnsi="Arial"/>
          <w:b/>
          <w:sz w:val="28"/>
        </w:rPr>
        <w:t>Runsaasti innovaatioita täydentämään DAF XD-, XF-, XG- ja XG</w:t>
      </w:r>
      <w:r>
        <w:rPr>
          <w:rFonts w:ascii="Arial" w:hAnsi="Arial"/>
          <w:b/>
          <w:sz w:val="28"/>
          <w:vertAlign w:val="superscript"/>
        </w:rPr>
        <w:t>+</w:t>
      </w:r>
      <w:r>
        <w:rPr>
          <w:rFonts w:ascii="Arial" w:hAnsi="Arial"/>
          <w:b/>
          <w:sz w:val="28"/>
        </w:rPr>
        <w:t xml:space="preserve"> -malleja</w:t>
      </w:r>
      <w:r>
        <w:rPr>
          <w:rFonts w:ascii="Arial" w:hAnsi="Arial"/>
          <w:sz w:val="24"/>
        </w:rPr>
        <w:br/>
        <w:t>Kaikissa uuden sukupolven DAF-kuorma-autoissa on täydellinen aerodynamiikka, erittäin tehokkaat voimansiirrot ja valikoima kuljettajan apujärjestelmiä, jotka parantavat polttoainetaloudellisuutta jopa 10 prosenttia. Voimansiirron ja aerodynamiikan parannuksilla sitä on nyt voitu parantaa vielä kolme prosenttia.</w:t>
      </w:r>
    </w:p>
    <w:p w14:paraId="46B0AED2" w14:textId="4B4B3B8F"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lastRenderedPageBreak/>
        <w:t>Ensiluokkainen tehokkuus</w:t>
      </w:r>
    </w:p>
    <w:p w14:paraId="4A77B361" w14:textId="5564DAA8" w:rsidR="00631BD5" w:rsidRDefault="00631BD5" w:rsidP="00631BD5">
      <w:pPr>
        <w:spacing w:line="360" w:lineRule="auto"/>
        <w:rPr>
          <w:rFonts w:ascii="Arial" w:hAnsi="Arial"/>
          <w:bCs/>
          <w:iCs/>
          <w:sz w:val="24"/>
        </w:rPr>
      </w:pPr>
      <w:r>
        <w:rPr>
          <w:rFonts w:ascii="Arial" w:hAnsi="Arial"/>
          <w:sz w:val="24"/>
        </w:rPr>
        <w:t>Optimoitu voimansiirron tehokkuus saavutetaan uudella moottorin venttiilien ajoituksella, kaksikäyttöisellä jäähdytysnestepumpulla ja kaksisylinterisellä paineilmakompressorilla. Myös Turbo- ja EGR-järjestelmät on päivitetty,</w:t>
      </w:r>
      <w:bookmarkStart w:id="1" w:name="_Hlk175067919"/>
      <w:r>
        <w:rPr>
          <w:rFonts w:ascii="Arial" w:hAnsi="Arial"/>
          <w:sz w:val="24"/>
        </w:rPr>
        <w:t>ja uudet polttoainesuuttimet ovat erittäin tehokkaita, luotettavia ja kestäviä.</w:t>
      </w:r>
    </w:p>
    <w:p w14:paraId="002FC221" w14:textId="77777777" w:rsidR="00004B4E" w:rsidRPr="00581975" w:rsidRDefault="00004B4E" w:rsidP="00631BD5">
      <w:pPr>
        <w:spacing w:line="360" w:lineRule="auto"/>
        <w:rPr>
          <w:rFonts w:ascii="Arial" w:hAnsi="Arial"/>
          <w:bCs/>
          <w:iCs/>
          <w:sz w:val="24"/>
        </w:rPr>
      </w:pPr>
    </w:p>
    <w:bookmarkEnd w:id="1"/>
    <w:p w14:paraId="74B550C2" w14:textId="2038C853" w:rsidR="00631BD5" w:rsidRDefault="00631BD5" w:rsidP="00E02D79">
      <w:pPr>
        <w:spacing w:line="360" w:lineRule="auto"/>
        <w:rPr>
          <w:rFonts w:ascii="Arial" w:hAnsi="Arial"/>
          <w:bCs/>
          <w:iCs/>
          <w:sz w:val="24"/>
        </w:rPr>
      </w:pPr>
      <w:r>
        <w:rPr>
          <w:rFonts w:ascii="Arial" w:hAnsi="Arial"/>
          <w:sz w:val="24"/>
        </w:rPr>
        <w:t>DAFin suosittuun SR1344-taka-akseliohjelmaan tehtyjä innovaatioita ovat muun muassa uusi vetopyörän vahva ja kestävä rakenne, joka mahdollistaa käytön myös tehokkaimpien PACCAR MX-13 -moottoreiden (390 kW / 530 hv) kanssa. Näin voidaan hyödyntää optimaalisesti DAFin alhaisilla kierrosluvuilla ajamisen periaatetta. Vaihteiston uusi vaihteenvaihtomenetelmä ja moottorin uudet optimoinnit mahdollistavat kokoonpanosta riippuen vakionopeudella seitsemän prosenttia pienemmän kierrosnopeuden (950 r/min 1 030:n sijaan).</w:t>
      </w:r>
    </w:p>
    <w:p w14:paraId="63CFA9CB" w14:textId="77777777" w:rsidR="00631BD5" w:rsidRPr="00581975"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Erinomaisen polttoainetaloudellisuuden ja alhaisten CO</w:t>
      </w:r>
      <w:r>
        <w:rPr>
          <w:rFonts w:ascii="Arial" w:hAnsi="Arial"/>
          <w:sz w:val="24"/>
          <w:vertAlign w:val="subscript"/>
        </w:rPr>
        <w:t>2</w:t>
      </w:r>
      <w:r>
        <w:rPr>
          <w:rFonts w:ascii="Arial" w:hAnsi="Arial"/>
          <w:sz w:val="24"/>
        </w:rPr>
        <w:t>-päästöjen ansiosta monet uuden sukupolven DAF-mallit täyttävät Maut 3 -luokan vaatimukset, mikä voi tuottaa vuosittain tuhansien eurojen säästöt Saksan tieliikenneveroissa.</w:t>
      </w:r>
    </w:p>
    <w:p w14:paraId="383C4401" w14:textId="77777777" w:rsidR="00FB3012" w:rsidRPr="00581975"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Uuden sukupolven DAF-mallien tehokkuuden optimoimiseksi DAF Digital Vision -kamerajärjestelmä (joka korvaa perinteiset peilit), ennakoiva vakionopeudensäädin ja alhaisen vierintävastuksen renkaat ovat vakiona 4x2- ja 6x2-versioissa*, mikä parantaa polttoainetaloudellisuutta vielä kuusi prosenttia. Asiakkaille, jotka eivät ole aiemmin tilanneet näitä ominaisuuksia, polttoaineen kokonaiskulutukseen ja hiilidioksidipäästöjen vähenemiseen liittyvä hyöty on jopa yhdeksän prosenttia. Päivittäisessä käytössä polttoainetaloudellisuus voi parantua vieläkin enemmän, sillä myös aerodynamiikkapaketti kuuluu vakiovarusteisiin.</w:t>
      </w:r>
    </w:p>
    <w:p w14:paraId="35CC0B4C" w14:textId="77777777" w:rsidR="008F0ECB" w:rsidRPr="00581975" w:rsidRDefault="008F0ECB" w:rsidP="006F7AB6">
      <w:pPr>
        <w:spacing w:line="360" w:lineRule="auto"/>
        <w:rPr>
          <w:rFonts w:ascii="Arial" w:hAnsi="Arial"/>
          <w:bCs/>
          <w:iCs/>
          <w:sz w:val="24"/>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 xml:space="preserve">Kaikki uuden sukupolven DAF-kuorma-autot sisältävät 10 vuoden PACCAR Connect -tilauksen. Tämä uusi kalustonhallinta-alusta tarjoaa reaaliaikaisia tietoja koko kaluston, yksittäisten ajoneuvojen ja kuljettajien suorituskyvystä, mikä auttaa optimoimaan tehokkuuden ja tuoton. Alusta mahdollistaa myös ajoneuvojen tehokkaat langattomat päivitykset. PACCAR Connectin merkittävä etu on helppo </w:t>
      </w:r>
      <w:r>
        <w:rPr>
          <w:rFonts w:ascii="Arial" w:hAnsi="Arial"/>
          <w:color w:val="000000" w:themeColor="text1"/>
          <w:sz w:val="24"/>
        </w:rPr>
        <w:lastRenderedPageBreak/>
        <w:t>integrointi niin kutsuttujen kolmansien osapuolten logistiikkasovelluksiin, mikä näyttää esimerkkiä kalustonhallintajärjestelmien alalla.</w:t>
      </w:r>
    </w:p>
    <w:p w14:paraId="3C3A9E8C" w14:textId="77777777" w:rsidR="00E02D79" w:rsidRPr="00581975"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t>Ensiluokkainen turvallisuus</w:t>
      </w:r>
    </w:p>
    <w:p w14:paraId="0D0DF73B" w14:textId="77777777" w:rsidR="00581975" w:rsidRDefault="00685AA5" w:rsidP="00E02D79">
      <w:pPr>
        <w:spacing w:line="360" w:lineRule="auto"/>
        <w:rPr>
          <w:rFonts w:ascii="Arial" w:hAnsi="Arial" w:cs="Arial"/>
          <w:sz w:val="24"/>
          <w:szCs w:val="24"/>
        </w:rPr>
      </w:pPr>
      <w:r>
        <w:rPr>
          <w:rFonts w:ascii="Arial" w:hAnsi="Arial"/>
          <w:sz w:val="24"/>
        </w:rPr>
        <w:t xml:space="preserve">Kaikki uuden sukupolven DAF-kuorma-autot </w:t>
      </w:r>
      <w:bookmarkEnd w:id="2"/>
      <w:r>
        <w:rPr>
          <w:rFonts w:ascii="Arial" w:hAnsi="Arial"/>
          <w:sz w:val="24"/>
        </w:rPr>
        <w:t>ovat turvallisuuden edelläkävijöitä, sillä niissä on runsaasti edistyksellisiä tehtaalta toimitettuja kuljettajaa avustavia järjestelmiä (ADAS). Näitä ovat muun muassa Advanced Emergency Braking System, Drive-off Assist, DAF Side &amp; Turn Assist, Lane Departure Warning ja Speed Limit Recognition. Lisäksi Event Data Recorder tallentaa kuvia ja tietoja AEBS-varoituksen aktivoituessa, ja uusi DAF Drowsiness Detection arvioi kuljettajan vireystilaa, mikä parantaa turvallisuutta entisestään.</w:t>
      </w:r>
    </w:p>
    <w:p w14:paraId="7D2149B1" w14:textId="77777777" w:rsidR="00581975" w:rsidRDefault="00581975" w:rsidP="00E02D79">
      <w:pPr>
        <w:spacing w:line="360" w:lineRule="auto"/>
        <w:rPr>
          <w:rFonts w:ascii="Arial" w:hAnsi="Arial" w:cs="Arial"/>
          <w:sz w:val="24"/>
          <w:szCs w:val="24"/>
        </w:rPr>
      </w:pPr>
    </w:p>
    <w:p w14:paraId="28132A3D" w14:textId="6BD24801" w:rsidR="00E02D79" w:rsidRPr="00581975" w:rsidRDefault="00E02D79" w:rsidP="00E02D79">
      <w:pPr>
        <w:spacing w:line="360" w:lineRule="auto"/>
        <w:rPr>
          <w:rFonts w:ascii="Arial" w:hAnsi="Arial" w:cs="Arial"/>
          <w:sz w:val="24"/>
          <w:szCs w:val="24"/>
        </w:rPr>
      </w:pPr>
      <w:r>
        <w:rPr>
          <w:rFonts w:ascii="Arial" w:hAnsi="Arial"/>
          <w:b/>
          <w:color w:val="A6A6A6" w:themeColor="background1" w:themeShade="A6"/>
          <w:sz w:val="24"/>
        </w:rPr>
        <w:t>Ensiluokkainen mukavuus</w:t>
      </w:r>
    </w:p>
    <w:p w14:paraId="55D48D10" w14:textId="01150AE8" w:rsidR="00685AA5" w:rsidRDefault="00E02D79" w:rsidP="00685AA5">
      <w:pPr>
        <w:spacing w:line="360" w:lineRule="auto"/>
        <w:rPr>
          <w:rFonts w:ascii="Arial" w:hAnsi="Arial" w:cs="Arial"/>
          <w:bCs/>
          <w:sz w:val="24"/>
          <w:szCs w:val="24"/>
        </w:rPr>
      </w:pPr>
      <w:r>
        <w:rPr>
          <w:rFonts w:ascii="Arial" w:hAnsi="Arial"/>
          <w:sz w:val="24"/>
        </w:rPr>
        <w:t>Voimansiirron päivitysten myötä melutaso on alhaisempi ajon aikana, ja vaihteiston uusi vaihteenvaihtomenetelmä parantaa ajettavuutta tasaisemman vaihteenvaihdon ansiosta.</w:t>
      </w:r>
    </w:p>
    <w:p w14:paraId="7A912908" w14:textId="1F5026A6"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Uudessa PACCAR Connect -kalustonhallinta-alustassa on yhdistetty kuorma-auton navigointiominaisuus, joka mahdollistaa täydellisen reittisuunnitelman lähettämisen varikolta suoraan kuorma-auton toissijaiseen näyttöön parhaan mahdollisen ajomukavuuden takaamiseksi.</w:t>
      </w:r>
    </w:p>
    <w:p w14:paraId="0643783C" w14:textId="77777777" w:rsidR="00685AA5" w:rsidRPr="00581975" w:rsidRDefault="00685AA5" w:rsidP="00685AA5">
      <w:pPr>
        <w:spacing w:line="360" w:lineRule="auto"/>
        <w:rPr>
          <w:rFonts w:ascii="Arial" w:hAnsi="Arial" w:cs="Arial"/>
          <w:bCs/>
          <w:color w:val="000000" w:themeColor="text1"/>
          <w:sz w:val="24"/>
          <w:szCs w:val="24"/>
        </w:rPr>
      </w:pPr>
    </w:p>
    <w:p w14:paraId="6E84C071" w14:textId="60E762E7"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Useat innovaatiot vahvistavat entisestään DAF XD-, XF-, XG- ja XG</w:t>
      </w:r>
      <w:r>
        <w:rPr>
          <w:rFonts w:ascii="Arial" w:hAnsi="Arial"/>
          <w:i/>
          <w:color w:val="000000" w:themeColor="text1"/>
          <w:sz w:val="24"/>
          <w:vertAlign w:val="superscript"/>
        </w:rPr>
        <w:t>+</w:t>
      </w:r>
      <w:r>
        <w:rPr>
          <w:rFonts w:ascii="Arial" w:hAnsi="Arial"/>
          <w:i/>
          <w:color w:val="000000" w:themeColor="text1"/>
          <w:sz w:val="24"/>
        </w:rPr>
        <w:t xml:space="preserve"> -mallien johtoasemaa ja asettavat uudet standardit tehokkuudelle, turvallisuudelle ja ajomukavuudelle. Myynti alkaa IAA-messuilla Hannoverissa.</w:t>
      </w:r>
    </w:p>
    <w:p w14:paraId="04CFBAE0" w14:textId="77777777" w:rsidR="000B053C" w:rsidRPr="00581975"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ympäristöasioiden suunnannäyttäjänä</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 xml:space="preserve">DAF esittelee asemaansa ympäristöasioiden suunnannäyttäjänä asettamalla IAA Transportation 2024 -messuilla näytteille koko huippuluokan XB-, XD- ja XF Electric -ajoneuvomallistonsa, jota käytetään kaupunki- ja aluejakeluun sekä kaukokuljetuksiin. Näissä innovatiivisissa kuorma-autoissa on erittäin tehokas voimansiirto ja modulaariset akustot, joiden ansiosta päästötön toimintamatka on jopa 500 kilometriä yhdellä latauksella. Kaikissa DAF Electric -kuorma-autoissa </w:t>
      </w:r>
      <w:r>
        <w:rPr>
          <w:rFonts w:ascii="Arial" w:hAnsi="Arial"/>
          <w:color w:val="000000" w:themeColor="text1"/>
          <w:sz w:val="24"/>
        </w:rPr>
        <w:lastRenderedPageBreak/>
        <w:t>käytetään suuritiheyksisiä LFP-akkuja (litium-rautafosfaatti), jotka suojaavat ylikuumenemiselta, joilla on pitkä käyttöikä ja jotka kestävät heikkenemättä suuren määrän lataussyklejä.</w:t>
      </w:r>
    </w:p>
    <w:p w14:paraId="3F046E7D" w14:textId="77777777" w:rsidR="00E117FE" w:rsidRPr="00581975"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Ensiluokkaisen sähköajoneuvosarjan lisäksi kattava palvelutarjonta tekee DAFista täydellisen kumppanin energiasiirtymässä. Palveluihin lukeutuvat asiantunteva neuvonta sekä PACCAR Power Solutionsin latausasemat ja energianvarastointijärjestelmät.</w:t>
      </w:r>
    </w:p>
    <w:p w14:paraId="01099269" w14:textId="27CA30E4" w:rsidR="001107F0" w:rsidRDefault="001107F0" w:rsidP="00171C7F">
      <w:pPr>
        <w:spacing w:line="360" w:lineRule="auto"/>
        <w:rPr>
          <w:rFonts w:ascii="Arial" w:hAnsi="Arial" w:cs="Arial"/>
          <w:bCs/>
          <w:color w:val="000000" w:themeColor="text1"/>
          <w:sz w:val="24"/>
          <w:szCs w:val="24"/>
        </w:rPr>
      </w:pPr>
    </w:p>
    <w:p w14:paraId="25405718" w14:textId="3F487796" w:rsidR="000B053C" w:rsidRDefault="00E166E1" w:rsidP="0052526F">
      <w:pPr>
        <w:spacing w:line="360" w:lineRule="auto"/>
        <w:rPr>
          <w:rFonts w:ascii="Arial" w:hAnsi="Arial"/>
          <w:bCs/>
          <w:iCs/>
          <w:sz w:val="24"/>
        </w:rPr>
      </w:pPr>
      <w:r>
        <w:rPr>
          <w:rFonts w:ascii="Arial" w:hAnsi="Arial"/>
          <w:color w:val="000000" w:themeColor="text1"/>
          <w:sz w:val="24"/>
        </w:rPr>
        <w:t>IAA Transportation 2024 -messuilla esitellään yleiskatsaus nykyisistä ja tulevista kestävistä voimansiirtoratkaisuista. Tehokkaissa ja luotettavissa PACCAR MX -moottoreissa on täysi HVO-biodieselin käyttövalmius, mikä vähentää hiilidioksidipäästöjä yli 90 prosenttia koko polttoaineketjussa.</w:t>
      </w:r>
      <w:r>
        <w:rPr>
          <w:rFonts w:ascii="Arial" w:hAnsi="Arial"/>
          <w:sz w:val="24"/>
        </w:rPr>
        <w:t>B100 Fame -biodieselillä käyvät mallit tulevat saataville ensi vuoden alkupuoliskolla.</w:t>
      </w:r>
    </w:p>
    <w:p w14:paraId="1A198E63" w14:textId="77777777" w:rsidR="00312BC9" w:rsidRPr="00581975"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DAF on edelläkävijä myös vetytekniikassa, sillä se on parhaillaan kehittämässä vetypolttomoottoria, jonka odotetaan saapuvan markkinoille tulevina vuosina.</w:t>
      </w:r>
    </w:p>
    <w:p w14:paraId="7950F4F1" w14:textId="5A208357" w:rsidR="00AF05D3" w:rsidRDefault="00AF05D3" w:rsidP="001D6EA1">
      <w:pPr>
        <w:spacing w:line="360" w:lineRule="auto"/>
        <w:rPr>
          <w:rFonts w:ascii="Arial" w:hAnsi="Arial"/>
          <w:bCs/>
          <w:iCs/>
          <w:sz w:val="24"/>
        </w:rPr>
      </w:pPr>
      <w:r>
        <w:rPr>
          <w:rFonts w:ascii="Arial" w:hAnsi="Arial"/>
          <w:sz w:val="24"/>
        </w:rPr>
        <w:t>DAFin IAA-messuosastolla on esillä myös kehitteillä oleva e-akseli, joka kuvastaa yrityksen jatkuvaa pyrkimystä kohti tehokkaita ja kokonaisvaltaisia voimansiirtoratkaisuja.</w:t>
      </w:r>
    </w:p>
    <w:p w14:paraId="276BE486" w14:textId="77777777" w:rsidR="006E7AB0" w:rsidRPr="00581975"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Kattavalla palvelutarjonnalla höystetyn, täyden akkukäyttöisen sähköajoneuvovalikoimansa myötä PACCAR ja DAF todistavat IAA Transportation 2024 -messuilla johtavaa asemaansa asiakkaiden energiasiirtymän tukemisessa.</w:t>
      </w:r>
    </w:p>
    <w:p w14:paraId="6C80CD53" w14:textId="77777777" w:rsidR="006E7AB0" w:rsidRPr="00581975" w:rsidRDefault="006E7AB0" w:rsidP="0052526F">
      <w:pPr>
        <w:spacing w:line="360" w:lineRule="auto"/>
        <w:rPr>
          <w:rFonts w:ascii="Arial" w:hAnsi="Arial"/>
          <w:bCs/>
          <w:iCs/>
          <w:sz w:val="24"/>
        </w:rPr>
      </w:pPr>
    </w:p>
    <w:p w14:paraId="65727EC4" w14:textId="18274FD2"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”Valmiina tulevaisuuteen”</w:t>
      </w:r>
      <w:r>
        <w:rPr>
          <w:rFonts w:ascii="Arial" w:hAnsi="Arial"/>
          <w:b/>
          <w:sz w:val="24"/>
        </w:rPr>
        <w:br/>
      </w:r>
      <w:r>
        <w:rPr>
          <w:rFonts w:ascii="Arial" w:hAnsi="Arial"/>
          <w:sz w:val="24"/>
        </w:rPr>
        <w:t>”Markkinoiden parhaista kuorma-autoista on tullut entistä parempia”, sanoo DAF Trucksin toimitusjohtaja Harald Seidel. ”Uusien innovaatioiden ansiosta uuden sukupolven DAF XD-, XF-, XG- ja XG</w:t>
      </w:r>
      <w:r>
        <w:rPr>
          <w:rFonts w:ascii="Arial" w:hAnsi="Arial"/>
          <w:sz w:val="24"/>
          <w:vertAlign w:val="superscript"/>
        </w:rPr>
        <w:t xml:space="preserve">+ </w:t>
      </w:r>
      <w:r>
        <w:rPr>
          <w:rFonts w:ascii="Arial" w:hAnsi="Arial"/>
          <w:sz w:val="24"/>
        </w:rPr>
        <w:t xml:space="preserve">-mallit vievät tehokkuuden, turvallisuuden ja ajomukavuuden jälleen uudelle tasolle. Lisäksi tarjoamme täyden valikoiman akkukäyttöisiä sähköajoneuvoja, joiden toimintamatka on jopa 500 kilometriä. Samalla tutkimme ja kehitämme jatkuvasti vaihtoehtoisia, kestäviä tekniikoita </w:t>
      </w:r>
      <w:r>
        <w:rPr>
          <w:rFonts w:ascii="Arial" w:hAnsi="Arial"/>
          <w:sz w:val="24"/>
        </w:rPr>
        <w:lastRenderedPageBreak/>
        <w:t>maantiekuljetuksessa. Osallistumisemme IAA Transportation 2024 -messuille osoittaa, että DAF on valmiina tulevaisuuteen.”</w:t>
      </w:r>
    </w:p>
    <w:p w14:paraId="7F4A90C7" w14:textId="77777777" w:rsidR="008B140A" w:rsidRPr="00581975" w:rsidRDefault="008B140A" w:rsidP="008B140A">
      <w:pPr>
        <w:spacing w:line="360" w:lineRule="auto"/>
        <w:rPr>
          <w:rFonts w:ascii="Arial" w:hAnsi="Arial" w:cs="Arial"/>
          <w:bCs/>
          <w:sz w:val="24"/>
          <w:szCs w:val="24"/>
        </w:rPr>
      </w:pPr>
    </w:p>
    <w:p w14:paraId="464FA81B" w14:textId="2C5B963F"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032CD95C" w14:textId="77777777" w:rsidR="002C6400" w:rsidRPr="00581975"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16. syyskuuta 2024</w:t>
      </w:r>
    </w:p>
    <w:p w14:paraId="23F8632F" w14:textId="77777777" w:rsidR="005C3F0B" w:rsidRPr="00581975"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Huomautus kirjoittajille</w:t>
      </w:r>
    </w:p>
    <w:p w14:paraId="30657291" w14:textId="77777777" w:rsidR="005C3F0B" w:rsidRPr="00581975"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Lisätietoja:</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Yrityksen viestintäosasto</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581975" w:rsidRDefault="005C3F0B" w:rsidP="00366A9B">
      <w:pPr>
        <w:rPr>
          <w:rFonts w:ascii="Arial" w:hAnsi="Arial" w:cs="Arial"/>
          <w:b/>
          <w:bCs/>
          <w:sz w:val="18"/>
          <w:szCs w:val="18"/>
          <w:lang w:val="nl-NL"/>
        </w:rPr>
      </w:pPr>
    </w:p>
    <w:p w14:paraId="6EAF9274" w14:textId="7272569D" w:rsidR="005C3F0B" w:rsidRPr="00581975" w:rsidRDefault="005C3F0B" w:rsidP="00366A9B">
      <w:pPr>
        <w:rPr>
          <w:rFonts w:ascii="Arial" w:hAnsi="Arial" w:cs="Arial"/>
          <w:b/>
          <w:bCs/>
          <w:sz w:val="18"/>
          <w:szCs w:val="18"/>
          <w:lang w:val="nl-NL"/>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Markkina-alueen ja käyttötarkoituksen mukaan</w:t>
      </w:r>
    </w:p>
    <w:p w14:paraId="2771BE45" w14:textId="77777777" w:rsidR="005C3F0B" w:rsidRPr="004424A8" w:rsidRDefault="005C3F0B" w:rsidP="00366A9B">
      <w:pPr>
        <w:rPr>
          <w:rFonts w:ascii="Arial" w:hAnsi="Arial" w:cs="Arial"/>
          <w:b/>
          <w:bCs/>
          <w:sz w:val="18"/>
          <w:szCs w:val="18"/>
          <w:lang w:val="en-GB"/>
        </w:rPr>
      </w:pPr>
    </w:p>
    <w:sectPr w:rsidR="005C3F0B" w:rsidRPr="004424A8"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78757552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09FA91B" w:rsidR="0077358E" w:rsidRDefault="0077358E" w:rsidP="008F14AD">
          <w:pPr>
            <w:pStyle w:val="KoptekstLogoCompanyAddress"/>
            <w:framePr w:wrap="around"/>
            <w:rPr>
              <w:u w:val="single"/>
            </w:rPr>
          </w:pPr>
          <w:r>
            <w:t xml:space="preserve">5600 PT </w:t>
          </w:r>
          <w:r w:rsidR="0058197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31B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1975"/>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219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978</Words>
  <Characters>8319</Characters>
  <Application>Microsoft Office Word</Application>
  <DocSecurity>0</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2022-08-17T07:25:00Z</cp:lastPrinted>
  <dcterms:created xsi:type="dcterms:W3CDTF">2024-09-11T13:59:00Z</dcterms:created>
  <dcterms:modified xsi:type="dcterms:W3CDTF">2024-09-11T13:59:00Z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