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341A78BA" w:rsidR="00F65B5D" w:rsidRPr="00CB242D" w:rsidRDefault="00F55BC1" w:rsidP="00620621">
      <w:pPr>
        <w:spacing w:line="276" w:lineRule="auto"/>
        <w:rPr>
          <w:rFonts w:ascii="Arial" w:hAnsi="Arial" w:cs="Arial"/>
          <w:b/>
          <w:sz w:val="32"/>
          <w:szCs w:val="32"/>
        </w:rPr>
      </w:pPr>
      <w:r>
        <w:rPr>
          <w:rFonts w:ascii="Arial" w:hAnsi="Arial"/>
          <w:sz w:val="24"/>
        </w:rPr>
        <w:t>Ny onlineplattform för vagnparkshantering för optimal effektivitet</w:t>
      </w:r>
      <w:r>
        <w:rPr>
          <w:rFonts w:ascii="Arial" w:hAnsi="Arial"/>
          <w:sz w:val="24"/>
        </w:rPr>
        <w:br/>
      </w:r>
      <w:r>
        <w:rPr>
          <w:rFonts w:ascii="Arial" w:hAnsi="Arial"/>
          <w:b/>
          <w:sz w:val="32"/>
        </w:rPr>
        <w:t>DAF presenterar PACCAR Connect</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Nya PACCAR Connect innehåller omfattande information, är den mest användarvänliga plattformen i branschen och sätter en ny standard för onlineplattformar för vagnparkshantering. Det är lätt att få tillgång till den och det är enkelt att integrera den med befintlig tredjepartsprogramvara. Tio års PACCAR Connect ingår för alla nya lastbilar av typen DAF XB, XD, XF, XG och XG</w:t>
      </w:r>
      <w:r>
        <w:rPr>
          <w:rFonts w:ascii="Arial" w:hAnsi="Arial"/>
          <w:b/>
          <w:sz w:val="24"/>
          <w:vertAlign w:val="superscript"/>
        </w:rPr>
        <w:t>+</w:t>
      </w:r>
      <w:r>
        <w:rPr>
          <w:rFonts w:ascii="Arial" w:hAnsi="Arial"/>
          <w:b/>
          <w:sz w:val="24"/>
        </w:rPr>
        <w:t>.</w:t>
      </w:r>
    </w:p>
    <w:p w14:paraId="1FC2AA7A" w14:textId="327D6E95"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består av ett antal komponenter: maskinvara och programvara i lastbilen, en löstagbar surfplatta (tillval) i hytten och en onlineportal som det går att få tillgång till från nästan alla fasta och mobila enheter. Med PACCAR Connect går det att få tillgång till realtidsinformation om prestanda för enskilda fordon och hela vagnparken, logistikprocesser och förarprestationer – när som helst och var som helst – för att hjälpa transportföretag att optimera sin effektivitet och avkastning.</w:t>
      </w:r>
    </w:p>
    <w:p w14:paraId="1B2F02D0" w14:textId="2C33985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Enkel integrering</w:t>
      </w:r>
      <w:r>
        <w:rPr>
          <w:rFonts w:ascii="Arial" w:hAnsi="Arial"/>
          <w:sz w:val="24"/>
        </w:rPr>
        <w:br/>
        <w:t>En av de största fördelarna med PACCAR Connect är att det går att använda data från onlineportalen i logistikprogram från tredje part, vilket gör det enklare att övervaka logistikprocesser och vagnparkens prestanda från alla typer av enheter.</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Det går att ansluta PACCAR Connect Tablet till de mobila tjänsterna i DAF:s navigeringssystem, vilket gör förarnas arbete enklare och effektivare och innebär att det går att skicka rutter från förarnas hemmabas direkt till DAF Truck Navigation-systemet. Det gör också att förarna alltid tar de mest effektiva rutterna.</w:t>
      </w:r>
    </w:p>
    <w:p w14:paraId="7A812A72" w14:textId="1108210D"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Nya navigeringsfunktioner</w:t>
      </w:r>
      <w:r>
        <w:rPr>
          <w:rFonts w:ascii="Arial" w:hAnsi="Arial"/>
          <w:sz w:val="24"/>
        </w:rPr>
        <w:br/>
        <w:t xml:space="preserve">Alternativet för First Mile-/Last Mile-rutter bidrar till effektiviteten och underlättar för förarna. Den funktionen löser det ofta förekommande problemet med att förarna inte kan köra till vissa platser på grund av trafikbegränsningar i lastnings- eller </w:t>
      </w:r>
      <w:r>
        <w:rPr>
          <w:rFonts w:ascii="Arial" w:hAnsi="Arial"/>
          <w:sz w:val="24"/>
        </w:rPr>
        <w:lastRenderedPageBreak/>
        <w:t>lossningsområdet.</w:t>
      </w:r>
      <w:r>
        <w:rPr>
          <w:rFonts w:ascii="Arial" w:hAnsi="Arial"/>
          <w:sz w:val="24"/>
        </w:rPr>
        <w:br/>
        <w:t>Det går att använda alternativet Min resplan till att skapa en eller flera rutter i PACCAR Connect-portalen och skicka dem direkt till lastbilsnavigatorerna, vilket inte bara innebär att förarna slipper utföra det arbetet utan dessutom att man undviker att förlora tid.</w:t>
      </w:r>
    </w:p>
    <w:p w14:paraId="76FAC536" w14:textId="7FE897CE"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Rapporter</w:t>
      </w:r>
      <w:r>
        <w:rPr>
          <w:rFonts w:ascii="Arial" w:hAnsi="Arial"/>
          <w:sz w:val="24"/>
        </w:rPr>
        <w:br/>
        <w:t>Med hjälp av PACCAR Connect går det att visa alla lastbils- och vagnparksprestanda dygnet runt online och det går även att använda schemaläggningsfunktionen för rapporter till att skicka informationen via e-post vid angivna tider. Dessutom finns det instrumentpaneler för att visa rutt- och bränslerapporter. För att uppnå maximal effektivitet innehåller PACCAR Connect även funktioner för geografiska områden som används till att meddela hemmabasen när en lastbil närmar sig en leveransplats eller är redo att tas i trafik efter underhåll hos en återförsäljare.</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Om du vill få tillgång till ännu mer information kan du välja de valfria modulerna för Eco-poäng och fordonsskick. Eco-poäng används till att visa mer information om förarbeteende och Fordonsskick används till att visa information om fordonets tillstånd, inklusive realtidsinformation om instrumentpanelssignaler och information om nästa service för fordonet.</w:t>
      </w:r>
    </w:p>
    <w:p w14:paraId="6C1EB7F8" w14:textId="1914C0DC" w:rsidR="005D46EB" w:rsidRPr="00CB242D" w:rsidRDefault="00702049" w:rsidP="358EEC3F">
      <w:pPr>
        <w:pStyle w:val="Body"/>
        <w:spacing w:before="240" w:line="360" w:lineRule="auto"/>
        <w:rPr>
          <w:rFonts w:ascii="Arial" w:hAnsi="Arial" w:cs="Arial"/>
          <w:sz w:val="24"/>
          <w:szCs w:val="24"/>
        </w:rPr>
      </w:pPr>
      <w:r>
        <w:rPr>
          <w:rFonts w:ascii="Arial" w:hAnsi="Arial"/>
          <w:b/>
          <w:sz w:val="24"/>
        </w:rPr>
        <w:t>Tio år som standard</w:t>
      </w:r>
      <w:r>
        <w:br/>
      </w:r>
      <w:r>
        <w:rPr>
          <w:rFonts w:ascii="Arial" w:hAnsi="Arial"/>
          <w:sz w:val="24"/>
        </w:rPr>
        <w:t>PACCAR Connect är som standard länkad till varje nytt fordon av typen DAF XB, XD, XF, XG och XG</w:t>
      </w:r>
      <w:r>
        <w:rPr>
          <w:rFonts w:ascii="Arial" w:hAnsi="Arial"/>
          <w:sz w:val="24"/>
          <w:vertAlign w:val="superscript"/>
        </w:rPr>
        <w:t>+</w:t>
      </w:r>
      <w:r>
        <w:rPr>
          <w:rFonts w:ascii="Arial" w:hAnsi="Arial"/>
          <w:sz w:val="24"/>
        </w:rPr>
        <w:t xml:space="preserve"> i tio år, även om fordonet byter ägare. Under den tidsperioden utförs alla uppdateringar av portalen automatiskt.</w:t>
      </w:r>
    </w:p>
    <w:p w14:paraId="6E6EA823" w14:textId="4C3777AF"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Ny standard</w:t>
      </w:r>
      <w:r>
        <w:rPr>
          <w:rFonts w:ascii="Arial" w:hAnsi="Arial"/>
          <w:sz w:val="24"/>
        </w:rPr>
        <w:br/>
        <w:t>Onlineplattformen PACCAR Connect för vagnparkshantering – standard för alla nya DAF-lastbilar – sätter en ny standard för användarvänlighet. Tack vare den enkla integreringen med logistikprogram från tredje part och PACCAR Connect Tablet (tillval) är övervakningen och optimeringen av logistikprocesser enklare och – ännu viktigare – bättre än någonsin.</w:t>
      </w:r>
    </w:p>
    <w:bookmarkEnd w:id="0"/>
    <w:p w14:paraId="44953B53" w14:textId="77777777" w:rsidR="00B53BFE" w:rsidRPr="008E769A" w:rsidRDefault="00B53BFE" w:rsidP="00C83643">
      <w:pPr>
        <w:spacing w:line="360" w:lineRule="auto"/>
        <w:rPr>
          <w:rFonts w:ascii="Arial" w:hAnsi="Arial"/>
          <w:b/>
          <w:i/>
          <w:sz w:val="24"/>
        </w:rPr>
      </w:pPr>
    </w:p>
    <w:p w14:paraId="6B6A9FA7" w14:textId="06F76485" w:rsidR="00C83643" w:rsidRPr="00CB242D" w:rsidRDefault="0073551B" w:rsidP="00C83643">
      <w:pPr>
        <w:spacing w:line="360" w:lineRule="auto"/>
        <w:rPr>
          <w:rFonts w:ascii="Arial" w:hAnsi="Arial"/>
          <w:i/>
          <w:sz w:val="24"/>
        </w:rPr>
      </w:pPr>
      <w:r>
        <w:rPr>
          <w:rFonts w:ascii="Arial" w:hAnsi="Arial"/>
          <w:b/>
          <w:i/>
          <w:sz w:val="24"/>
        </w:rPr>
        <w:lastRenderedPageBreak/>
        <w:t>Bildtext</w:t>
      </w:r>
      <w:r>
        <w:rPr>
          <w:rFonts w:ascii="Arial" w:hAnsi="Arial"/>
          <w:i/>
          <w:sz w:val="24"/>
        </w:rPr>
        <w:br/>
        <w:t>DAF presenterar PACCAR Connect, en onlineplattform för vagnparkshantering som är avsedd att maximera effektiviteten för vagnparker.</w:t>
      </w:r>
    </w:p>
    <w:p w14:paraId="78F0E135" w14:textId="7EEFC8BC" w:rsidR="00366A9B" w:rsidRPr="00CB242D" w:rsidRDefault="00366A9B" w:rsidP="0073551B">
      <w:pPr>
        <w:rPr>
          <w:rFonts w:ascii="Arial" w:hAnsi="Arial" w:cs="Arial"/>
          <w:sz w:val="18"/>
          <w:szCs w:val="18"/>
        </w:rPr>
      </w:pPr>
      <w:r>
        <w:rPr>
          <w:rFonts w:ascii="Arial" w:hAnsi="Arial"/>
          <w:b/>
          <w:sz w:val="18"/>
        </w:rPr>
        <w:br/>
        <w:t>DAF Trucks N.V.</w:t>
      </w:r>
      <w:r>
        <w:rPr>
          <w:rFonts w:ascii="Arial" w:hAnsi="Arial"/>
          <w:sz w:val="18"/>
        </w:rPr>
        <w:t xml:space="preserve"> – ett dotterbolag till PACCAR Inc, ett globalt teknikföretag som konstruerar och tillverkar lätta, medeltunga och tunga lastbilar. DAF tillhandahåller ett komplett sortiment av dragfordon och nyttofordon, för att kunna erbjuda rätt fordon för varje transporttillämpning. DAF är också en ledande leverantör av tjänster, bland annat reparations- och underhållsavtal för MultiSupport, finansiella tjänster från PACCAR Financial och en förstklassig tjänst för leverans av reservdelar från PACCAR Parts.</w:t>
      </w:r>
    </w:p>
    <w:p w14:paraId="665E72C2" w14:textId="77777777" w:rsidR="00C83643" w:rsidRPr="008E769A" w:rsidRDefault="00C83643" w:rsidP="00C83643">
      <w:pPr>
        <w:spacing w:line="360" w:lineRule="auto"/>
        <w:rPr>
          <w:rFonts w:ascii="Arial" w:hAnsi="Arial" w:cs="Arial"/>
          <w:sz w:val="24"/>
        </w:rPr>
      </w:pPr>
    </w:p>
    <w:p w14:paraId="506572A4" w14:textId="5BD80407" w:rsidR="00C83643" w:rsidRPr="00CB242D" w:rsidRDefault="00C83643" w:rsidP="00C83643">
      <w:pPr>
        <w:spacing w:line="360" w:lineRule="auto"/>
        <w:rPr>
          <w:rFonts w:ascii="Arial" w:hAnsi="Arial" w:cs="Arial"/>
          <w:sz w:val="24"/>
        </w:rPr>
      </w:pPr>
      <w:r>
        <w:rPr>
          <w:rFonts w:ascii="Arial" w:hAnsi="Arial"/>
          <w:sz w:val="24"/>
        </w:rPr>
        <w:t>Eindhoven, 16 september 2024</w:t>
      </w:r>
    </w:p>
    <w:p w14:paraId="5EEBD937" w14:textId="77777777" w:rsidR="00C83643" w:rsidRPr="008E769A"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Meddelande endast till redaktörer</w:t>
      </w:r>
    </w:p>
    <w:p w14:paraId="21799C43" w14:textId="77777777" w:rsidR="00C83643" w:rsidRPr="008E769A" w:rsidRDefault="00C83643" w:rsidP="00C83643">
      <w:pPr>
        <w:rPr>
          <w:rFonts w:ascii="Arial" w:hAnsi="Arial" w:cs="Arial"/>
          <w:sz w:val="24"/>
          <w:lang w:val="nl-NL"/>
        </w:rPr>
      </w:pPr>
    </w:p>
    <w:p w14:paraId="516C8D8E" w14:textId="77777777" w:rsidR="00C83643" w:rsidRPr="00CB242D" w:rsidRDefault="00C83643" w:rsidP="00C83643">
      <w:pPr>
        <w:rPr>
          <w:rFonts w:ascii="Arial" w:hAnsi="Arial" w:cs="Arial"/>
          <w:sz w:val="24"/>
        </w:rPr>
      </w:pPr>
      <w:r>
        <w:rPr>
          <w:rFonts w:ascii="Arial" w:hAnsi="Arial"/>
          <w:sz w:val="24"/>
        </w:rPr>
        <w:t>För ytterligare information:</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8E769A"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6pt;height:56.4pt;mso-width-percent:0;mso-height-percent:0;mso-width-percent:0;mso-height-percent:0">
                <v:imagedata r:id="rId1" o:title=""/>
              </v:shape>
              <o:OLEObject Type="Embed" ProgID="PBrush" ShapeID="_x0000_i1025" DrawAspect="Content" ObjectID="_178756235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8A262DD" w:rsidR="0077358E" w:rsidRDefault="0077358E" w:rsidP="008F14AD">
          <w:pPr>
            <w:pStyle w:val="KoptekstLogoCompanyAddress"/>
            <w:framePr w:wrap="around"/>
            <w:rPr>
              <w:u w:val="single"/>
            </w:rPr>
          </w:pPr>
          <w:r>
            <w:t>5600 PT</w:t>
          </w:r>
          <w:r w:rsidR="008E769A">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13F5"/>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E769A"/>
    <w:rsid w:val="008F14AD"/>
    <w:rsid w:val="008F4890"/>
    <w:rsid w:val="008F6E58"/>
    <w:rsid w:val="009020F2"/>
    <w:rsid w:val="00912C07"/>
    <w:rsid w:val="00917F62"/>
    <w:rsid w:val="00936536"/>
    <w:rsid w:val="00941AA5"/>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636</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2022-07-22T06:24:00Z</cp:lastPrinted>
  <dcterms:created xsi:type="dcterms:W3CDTF">2024-08-28T11:58:00Z</dcterms:created>
  <dcterms:modified xsi:type="dcterms:W3CDTF">2024-09-11T10:18:00Z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